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B34C99">
        <w:rPr>
          <w:sz w:val="24"/>
          <w:szCs w:val="24"/>
        </w:rPr>
        <w:t>18</w:t>
      </w:r>
      <w:r w:rsidRPr="00EC3A53">
        <w:rPr>
          <w:sz w:val="24"/>
          <w:szCs w:val="24"/>
        </w:rPr>
        <w:t>/</w:t>
      </w:r>
      <w:r w:rsidR="00B34C99">
        <w:rPr>
          <w:sz w:val="24"/>
          <w:szCs w:val="24"/>
        </w:rPr>
        <w:t>8</w:t>
      </w:r>
      <w:r w:rsidR="005F417D">
        <w:rPr>
          <w:sz w:val="24"/>
          <w:szCs w:val="24"/>
        </w:rPr>
        <w:t>3</w:t>
      </w:r>
      <w:bookmarkStart w:id="0" w:name="_GoBack"/>
      <w:bookmarkEnd w:id="0"/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от</w:t>
      </w:r>
      <w:r w:rsidRPr="00EC3A53">
        <w:rPr>
          <w:sz w:val="24"/>
          <w:szCs w:val="24"/>
        </w:rPr>
        <w:t xml:space="preserve"> </w:t>
      </w:r>
      <w:r w:rsidR="00B34C99">
        <w:rPr>
          <w:sz w:val="24"/>
          <w:szCs w:val="24"/>
        </w:rPr>
        <w:t>20 сентября</w:t>
      </w:r>
      <w:r w:rsidRPr="00EC3A53">
        <w:rPr>
          <w:sz w:val="24"/>
          <w:szCs w:val="24"/>
        </w:rPr>
        <w:t xml:space="preserve"> 202</w:t>
      </w:r>
      <w:r w:rsidR="00B34C99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887A01" w:rsidRPr="00117E28" w:rsidRDefault="00AC704E" w:rsidP="00A143E8">
      <w:pPr>
        <w:jc w:val="center"/>
        <w:rPr>
          <w:b/>
          <w:bCs/>
          <w:sz w:val="24"/>
          <w:szCs w:val="24"/>
        </w:rPr>
      </w:pPr>
      <w:r w:rsidRPr="00117E28">
        <w:rPr>
          <w:b/>
          <w:sz w:val="24"/>
          <w:szCs w:val="24"/>
        </w:rPr>
        <w:t>«О результатах дополнительных выборов депутат</w:t>
      </w:r>
      <w:r w:rsidR="00B34C99">
        <w:rPr>
          <w:b/>
          <w:sz w:val="24"/>
          <w:szCs w:val="24"/>
        </w:rPr>
        <w:t>а</w:t>
      </w:r>
      <w:r w:rsidRPr="00117E28">
        <w:rPr>
          <w:b/>
          <w:sz w:val="24"/>
          <w:szCs w:val="24"/>
        </w:rPr>
        <w:t xml:space="preserve"> Совета народных депутатов </w:t>
      </w:r>
      <w:r w:rsidR="00B34C99">
        <w:rPr>
          <w:b/>
          <w:sz w:val="24"/>
          <w:szCs w:val="24"/>
        </w:rPr>
        <w:t>Новокузнецкого муниципального района второго созыва по одномандатному избирательном округу № 13</w:t>
      </w:r>
      <w:r w:rsidRPr="00117E28">
        <w:rPr>
          <w:b/>
          <w:sz w:val="24"/>
          <w:szCs w:val="24"/>
        </w:rPr>
        <w:t>»</w:t>
      </w:r>
    </w:p>
    <w:p w:rsidR="00887A01" w:rsidRPr="00117E28" w:rsidRDefault="00887A01" w:rsidP="00A143E8">
      <w:pPr>
        <w:spacing w:line="276" w:lineRule="auto"/>
        <w:ind w:firstLine="720"/>
        <w:jc w:val="center"/>
        <w:rPr>
          <w:sz w:val="24"/>
          <w:szCs w:val="24"/>
        </w:rPr>
      </w:pPr>
    </w:p>
    <w:p w:rsidR="00E61E14" w:rsidRPr="00117E28" w:rsidRDefault="00AC704E" w:rsidP="00A143E8">
      <w:pPr>
        <w:shd w:val="clear" w:color="auto" w:fill="FFFFFF"/>
        <w:ind w:firstLine="700"/>
        <w:jc w:val="both"/>
        <w:rPr>
          <w:sz w:val="24"/>
          <w:szCs w:val="24"/>
        </w:rPr>
      </w:pPr>
      <w:r w:rsidRPr="00117E28">
        <w:rPr>
          <w:sz w:val="24"/>
          <w:szCs w:val="24"/>
        </w:rPr>
        <w:t xml:space="preserve"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</w:t>
      </w:r>
      <w:r w:rsidR="00B34C99" w:rsidRPr="00B34C99">
        <w:rPr>
          <w:sz w:val="24"/>
          <w:szCs w:val="24"/>
        </w:rPr>
        <w:t>Постановлени</w:t>
      </w:r>
      <w:r w:rsidR="00B34C99">
        <w:rPr>
          <w:sz w:val="24"/>
          <w:szCs w:val="24"/>
        </w:rPr>
        <w:t>ем</w:t>
      </w:r>
      <w:r w:rsidR="00B34C99" w:rsidRPr="00B34C99">
        <w:rPr>
          <w:sz w:val="24"/>
          <w:szCs w:val="24"/>
        </w:rPr>
        <w:t xml:space="preserve"> избирательной комиссии Кемеровской области - Кузбасса от 28 декабря 2020 года №154/1474-6 «О возложении полномочий избирательной комиссии Новокузнецкого муниципального района на территориальную избирательную комиссию Новокузнецкого муниципального района»</w:t>
      </w:r>
      <w:r w:rsidRPr="00117E28">
        <w:rPr>
          <w:sz w:val="24"/>
          <w:szCs w:val="24"/>
        </w:rPr>
        <w:t>, определив результаты дополнительных выборов депутат</w:t>
      </w:r>
      <w:r w:rsidR="00B34C99">
        <w:rPr>
          <w:sz w:val="24"/>
          <w:szCs w:val="24"/>
        </w:rPr>
        <w:t>а</w:t>
      </w:r>
      <w:r w:rsidRPr="00117E28">
        <w:rPr>
          <w:sz w:val="24"/>
          <w:szCs w:val="24"/>
        </w:rPr>
        <w:t xml:space="preserve"> Совета народных депутатов </w:t>
      </w:r>
      <w:r w:rsidR="00B34C99">
        <w:rPr>
          <w:sz w:val="24"/>
          <w:szCs w:val="24"/>
        </w:rPr>
        <w:t>Новокузнецкого муниципального района</w:t>
      </w:r>
      <w:r w:rsidRPr="00117E28">
        <w:rPr>
          <w:sz w:val="24"/>
          <w:szCs w:val="24"/>
        </w:rPr>
        <w:t xml:space="preserve"> второго созыва по одномандатному избирательному округу №1</w:t>
      </w:r>
      <w:r w:rsidR="00B34C99">
        <w:rPr>
          <w:sz w:val="24"/>
          <w:szCs w:val="24"/>
        </w:rPr>
        <w:t>3</w:t>
      </w:r>
      <w:r w:rsidRPr="00117E28">
        <w:rPr>
          <w:sz w:val="24"/>
          <w:szCs w:val="24"/>
        </w:rPr>
        <w:t xml:space="preserve"> после предварительной проверки и суммирования данных, содержащихся в первых экземплярах протоколов участковых избирательных комиссий об итогах голосования, территориальная избирательная комиссия Новокузнецкого муниципального района </w:t>
      </w:r>
      <w:r w:rsidR="00AC06BC">
        <w:rPr>
          <w:sz w:val="24"/>
          <w:szCs w:val="24"/>
        </w:rPr>
        <w:t>учетом возложенных на нее полномочий</w:t>
      </w:r>
    </w:p>
    <w:p w:rsidR="00E61E14" w:rsidRPr="00117E28" w:rsidRDefault="00E61E14" w:rsidP="00E61E14">
      <w:pPr>
        <w:shd w:val="clear" w:color="auto" w:fill="FFFFFF"/>
        <w:ind w:firstLine="700"/>
        <w:jc w:val="both"/>
        <w:rPr>
          <w:sz w:val="24"/>
          <w:szCs w:val="24"/>
        </w:rPr>
      </w:pPr>
      <w:r w:rsidRPr="00117E28">
        <w:rPr>
          <w:sz w:val="24"/>
          <w:szCs w:val="24"/>
        </w:rPr>
        <w:t>РЕШИЛА:</w:t>
      </w:r>
    </w:p>
    <w:p w:rsidR="00A143E8" w:rsidRPr="00117E28" w:rsidRDefault="00AC704E" w:rsidP="00AC704E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17E28">
        <w:rPr>
          <w:sz w:val="24"/>
          <w:szCs w:val="24"/>
        </w:rPr>
        <w:t>Признать дополнительные выборы депутат</w:t>
      </w:r>
      <w:r w:rsidR="00AC06BC">
        <w:rPr>
          <w:sz w:val="24"/>
          <w:szCs w:val="24"/>
        </w:rPr>
        <w:t>а</w:t>
      </w:r>
      <w:r w:rsidRPr="00117E28">
        <w:rPr>
          <w:sz w:val="24"/>
          <w:szCs w:val="24"/>
        </w:rPr>
        <w:t xml:space="preserve"> Совета народных депутатов </w:t>
      </w:r>
      <w:r w:rsidR="00AC06BC">
        <w:rPr>
          <w:sz w:val="24"/>
          <w:szCs w:val="24"/>
        </w:rPr>
        <w:t>Новокузнецкого муниципального района</w:t>
      </w:r>
      <w:r w:rsidRPr="00117E28">
        <w:rPr>
          <w:sz w:val="24"/>
          <w:szCs w:val="24"/>
        </w:rPr>
        <w:t xml:space="preserve"> второго созыва по одномандатному избирательному округу №1</w:t>
      </w:r>
      <w:r w:rsidR="00AC06BC">
        <w:rPr>
          <w:sz w:val="24"/>
          <w:szCs w:val="24"/>
        </w:rPr>
        <w:t>3</w:t>
      </w:r>
      <w:r w:rsidRPr="00117E28">
        <w:rPr>
          <w:sz w:val="24"/>
          <w:szCs w:val="24"/>
        </w:rPr>
        <w:t xml:space="preserve"> состоявшимися и действительными.</w:t>
      </w:r>
    </w:p>
    <w:p w:rsidR="0037761A" w:rsidRPr="00117E28" w:rsidRDefault="00AC704E" w:rsidP="00AC704E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17E28">
        <w:rPr>
          <w:sz w:val="24"/>
          <w:szCs w:val="24"/>
        </w:rPr>
        <w:t>Утвердить протокол и сводную таблицу окружной избирательной комиссии о результатах дополнительных выборов по одномандатному избирательному округу №1</w:t>
      </w:r>
      <w:r w:rsidR="00AC06BC">
        <w:rPr>
          <w:sz w:val="24"/>
          <w:szCs w:val="24"/>
        </w:rPr>
        <w:t>3</w:t>
      </w:r>
      <w:r w:rsidRPr="00117E28">
        <w:rPr>
          <w:sz w:val="24"/>
          <w:szCs w:val="24"/>
        </w:rPr>
        <w:t>.</w:t>
      </w:r>
    </w:p>
    <w:p w:rsidR="00A143E8" w:rsidRPr="00117E28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117E28">
        <w:rPr>
          <w:sz w:val="24"/>
          <w:szCs w:val="24"/>
        </w:rPr>
        <w:t xml:space="preserve">Признать избранным депутатом Совета народных депутатов </w:t>
      </w:r>
      <w:r w:rsidR="00AC06BC">
        <w:rPr>
          <w:sz w:val="24"/>
          <w:szCs w:val="24"/>
        </w:rPr>
        <w:t>Новокузнецкого муниципального района</w:t>
      </w:r>
      <w:r w:rsidRPr="00117E28">
        <w:rPr>
          <w:sz w:val="24"/>
          <w:szCs w:val="24"/>
        </w:rPr>
        <w:t xml:space="preserve"> второго созыва по одномандатному избирательному округу №1</w:t>
      </w:r>
      <w:r w:rsidR="002C74EC">
        <w:rPr>
          <w:sz w:val="24"/>
          <w:szCs w:val="24"/>
        </w:rPr>
        <w:t>3</w:t>
      </w:r>
      <w:r w:rsidRPr="00117E28">
        <w:rPr>
          <w:sz w:val="24"/>
          <w:szCs w:val="24"/>
        </w:rPr>
        <w:t xml:space="preserve"> зарегистрированного </w:t>
      </w:r>
      <w:r w:rsidRPr="005B2906">
        <w:rPr>
          <w:sz w:val="24"/>
          <w:szCs w:val="24"/>
        </w:rPr>
        <w:t xml:space="preserve">кандидата </w:t>
      </w:r>
      <w:r w:rsidR="005B2906" w:rsidRPr="005B2906">
        <w:rPr>
          <w:sz w:val="24"/>
          <w:szCs w:val="24"/>
        </w:rPr>
        <w:t>Кокорина Николая Николаевича</w:t>
      </w:r>
      <w:r w:rsidRPr="00117E28">
        <w:rPr>
          <w:color w:val="000000" w:themeColor="text1"/>
          <w:sz w:val="24"/>
          <w:szCs w:val="24"/>
        </w:rPr>
        <w:t xml:space="preserve">, </w:t>
      </w:r>
      <w:r w:rsidRPr="00117E28">
        <w:rPr>
          <w:sz w:val="24"/>
          <w:szCs w:val="24"/>
        </w:rPr>
        <w:t>получивш</w:t>
      </w:r>
      <w:r w:rsidR="002C74EC">
        <w:rPr>
          <w:sz w:val="24"/>
          <w:szCs w:val="24"/>
        </w:rPr>
        <w:t>его</w:t>
      </w:r>
      <w:r w:rsidRPr="00117E28">
        <w:rPr>
          <w:sz w:val="24"/>
          <w:szCs w:val="24"/>
        </w:rPr>
        <w:t xml:space="preserve"> наибольшее число голосов избирателей, принявших участие в голосовании по одномандатному избирательному округу.</w:t>
      </w:r>
    </w:p>
    <w:p w:rsidR="00415E00" w:rsidRPr="00117E28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117E28">
        <w:rPr>
          <w:spacing w:val="-5"/>
          <w:sz w:val="24"/>
          <w:szCs w:val="24"/>
        </w:rPr>
        <w:t>Опубликовать настоящее решение в Новокузнецкой районной газете «Сельские вести».</w:t>
      </w:r>
    </w:p>
    <w:p w:rsidR="00887A01" w:rsidRPr="00117E28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4"/>
          <w:szCs w:val="24"/>
        </w:rPr>
      </w:pPr>
      <w:r w:rsidRPr="00117E28">
        <w:rPr>
          <w:spacing w:val="-5"/>
          <w:sz w:val="24"/>
          <w:szCs w:val="24"/>
        </w:rPr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117E28" w:rsidTr="00504FCE">
        <w:trPr>
          <w:trHeight w:val="1260"/>
          <w:jc w:val="center"/>
        </w:trPr>
        <w:tc>
          <w:tcPr>
            <w:tcW w:w="4248" w:type="dxa"/>
          </w:tcPr>
          <w:p w:rsidR="00FC15AF" w:rsidRDefault="00FC15AF" w:rsidP="00504FCE">
            <w:pPr>
              <w:rPr>
                <w:b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b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17E28" w:rsidRPr="00117E28" w:rsidRDefault="00117E28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О.В. Абрамова</w:t>
            </w: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C15AF" w:rsidRPr="00117E28" w:rsidTr="00504FCE">
        <w:trPr>
          <w:jc w:val="center"/>
        </w:trPr>
        <w:tc>
          <w:tcPr>
            <w:tcW w:w="4248" w:type="dxa"/>
          </w:tcPr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17E28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C74EC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2906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5F417D"/>
    <w:rsid w:val="00625FC0"/>
    <w:rsid w:val="00627D6F"/>
    <w:rsid w:val="00641813"/>
    <w:rsid w:val="00641FE2"/>
    <w:rsid w:val="00670C29"/>
    <w:rsid w:val="006718B2"/>
    <w:rsid w:val="00673A1E"/>
    <w:rsid w:val="0067417E"/>
    <w:rsid w:val="0067781D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D6AEF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06BC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34C99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2DB62"/>
  <w15:docId w15:val="{3DE17EC2-A29F-495F-A017-85F0DBB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7</cp:revision>
  <cp:lastPrinted>2021-09-20T04:54:00Z</cp:lastPrinted>
  <dcterms:created xsi:type="dcterms:W3CDTF">2021-09-19T09:28:00Z</dcterms:created>
  <dcterms:modified xsi:type="dcterms:W3CDTF">2021-09-20T04:55:00Z</dcterms:modified>
</cp:coreProperties>
</file>