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C66F9">
        <w:rPr>
          <w:b/>
          <w:sz w:val="28"/>
          <w:szCs w:val="28"/>
        </w:rPr>
        <w:t>3</w:t>
      </w:r>
      <w:r w:rsidR="00E12BFF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12BFF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E12BFF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E12BFF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E12BFF">
        <w:rPr>
          <w:b/>
          <w:sz w:val="22"/>
          <w:szCs w:val="22"/>
        </w:rPr>
        <w:t>Оленева Вадима Юрьевича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E12BFF">
        <w:rPr>
          <w:sz w:val="22"/>
          <w:szCs w:val="22"/>
        </w:rPr>
        <w:t>18.01.1991</w:t>
      </w:r>
      <w:r w:rsidR="00E35AF1">
        <w:rPr>
          <w:sz w:val="22"/>
          <w:szCs w:val="22"/>
        </w:rPr>
        <w:t xml:space="preserve"> г. в </w:t>
      </w:r>
      <w:r w:rsidR="001D4100">
        <w:rPr>
          <w:sz w:val="22"/>
          <w:szCs w:val="22"/>
        </w:rPr>
        <w:t xml:space="preserve">г. </w:t>
      </w:r>
      <w:r w:rsidR="00E12BFF">
        <w:rPr>
          <w:sz w:val="22"/>
          <w:szCs w:val="22"/>
        </w:rPr>
        <w:t>Новокузнецк</w:t>
      </w:r>
      <w:r w:rsidR="00A13274">
        <w:rPr>
          <w:sz w:val="22"/>
          <w:szCs w:val="22"/>
        </w:rPr>
        <w:t xml:space="preserve">, </w:t>
      </w:r>
      <w:r w:rsidR="00CC66F9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E12BFF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904B96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904B96">
        <w:rPr>
          <w:sz w:val="22"/>
          <w:szCs w:val="22"/>
        </w:rPr>
        <w:t>предприниматель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E12BFF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C66F9">
        <w:rPr>
          <w:sz w:val="22"/>
          <w:szCs w:val="22"/>
        </w:rPr>
        <w:t>3</w:t>
      </w:r>
      <w:r w:rsidR="00E12BFF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62" w:rsidRDefault="0024226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242262" w:rsidRDefault="0024226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62" w:rsidRDefault="0024226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242262" w:rsidRDefault="0024226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2262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5544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0248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E0BC-390A-4A2D-B662-D1E17E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2019-07-18T09:05:00Z</cp:lastPrinted>
  <dcterms:created xsi:type="dcterms:W3CDTF">2019-07-18T09:05:00Z</dcterms:created>
  <dcterms:modified xsi:type="dcterms:W3CDTF">2019-07-23T03:21:00Z</dcterms:modified>
</cp:coreProperties>
</file>